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87" w:rsidRDefault="00422487" w:rsidP="00422487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</w:t>
      </w:r>
      <w:r w:rsidR="009E715A">
        <w:t>3</w:t>
      </w:r>
      <w:r>
        <w:t xml:space="preserve"> výz</w:t>
      </w:r>
      <w:r w:rsidR="009E715A">
        <w:t>vy</w:t>
      </w:r>
      <w:r>
        <w:t xml:space="preserve"> </w:t>
      </w:r>
      <w:r>
        <w:rPr>
          <w:rStyle w:val="docdata"/>
          <w:color w:val="000000"/>
        </w:rPr>
        <w:t xml:space="preserve">OPST č. </w:t>
      </w:r>
      <w:r w:rsidR="009E715A">
        <w:rPr>
          <w:rStyle w:val="docdata"/>
          <w:color w:val="000000"/>
        </w:rPr>
        <w:t>17</w:t>
      </w:r>
    </w:p>
    <w:p w:rsidR="00422487" w:rsidRDefault="00422487" w:rsidP="00422487">
      <w:pPr>
        <w:spacing w:before="240"/>
        <w:jc w:val="center"/>
        <w:rPr>
          <w:rFonts w:eastAsia="Calibri" w:cs="Segoe UI"/>
          <w:caps/>
          <w:color w:val="3E1F65"/>
          <w:sz w:val="32"/>
          <w:szCs w:val="32"/>
          <w:lang w:eastAsia="en-US"/>
        </w:rPr>
      </w:pPr>
      <w:r>
        <w:rPr>
          <w:rFonts w:eastAsia="Calibri" w:cs="Segoe UI"/>
          <w:caps/>
          <w:color w:val="3E1F65"/>
          <w:sz w:val="32"/>
          <w:szCs w:val="32"/>
          <w:lang w:eastAsia="en-US"/>
        </w:rPr>
        <w:t>prohlášení žadatele k souladu realizace projektu s podmínkami DNSH</w:t>
      </w:r>
      <w:bookmarkEnd w:id="0"/>
      <w:bookmarkEnd w:id="1"/>
      <w:bookmarkEnd w:id="2"/>
      <w:r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 </w:t>
      </w:r>
      <w:r w:rsidRPr="00001A9B"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a k podmínkám odboru Hlavního architekta eGovernmentu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:rsidR="00422487" w:rsidRDefault="00422487" w:rsidP="00422487">
      <w:pPr>
        <w:rPr>
          <w:rFonts w:cs="Segoe UI"/>
        </w:rPr>
      </w:pPr>
      <w:r>
        <w:rPr>
          <w:rFonts w:cs="Segoe UI"/>
        </w:rPr>
        <w:t xml:space="preserve"> </w:t>
      </w:r>
    </w:p>
    <w:p w:rsidR="00422487" w:rsidRDefault="00422487" w:rsidP="00422487"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</w:t>
      </w:r>
      <w:proofErr w:type="spellStart"/>
      <w:r>
        <w:rPr>
          <w:rFonts w:cs="Segoe UI"/>
        </w:rPr>
        <w:t>enviromentálních</w:t>
      </w:r>
      <w:proofErr w:type="spellEnd"/>
      <w:r>
        <w:rPr>
          <w:rFonts w:cs="Segoe UI"/>
        </w:rPr>
        <w:t xml:space="preserve">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18. června 2020 o zřízení rámce pro usnadnění udržitelných investic a o změně nařízení (EU) 2019/2088.</w:t>
      </w:r>
      <w:r>
        <w:rPr>
          <w:rStyle w:val="Znakapoznpodarou"/>
          <w:rFonts w:eastAsiaTheme="minorEastAsia"/>
        </w:rPr>
        <w:footnoteReference w:id="1"/>
      </w:r>
      <w:r>
        <w:rPr>
          <w:rFonts w:eastAsiaTheme="minorEastAsia"/>
        </w:rPr>
        <w:t xml:space="preserve"> </w:t>
      </w:r>
    </w:p>
    <w:p w:rsidR="00422487" w:rsidRDefault="00422487" w:rsidP="00422487">
      <w:pPr>
        <w:rPr>
          <w:rFonts w:eastAsiaTheme="minorEastAsia"/>
        </w:rPr>
      </w:pPr>
      <w:r>
        <w:rPr>
          <w:rFonts w:eastAsiaTheme="minorEastAsia"/>
        </w:rPr>
        <w:t>Žadatel dále prohlašuje, že nezařadí mezi způsobilé výdaje:</w:t>
      </w:r>
    </w:p>
    <w:p w:rsidR="00422487" w:rsidRDefault="00422487" w:rsidP="0042248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náklady na nové spotřebiče, které nesplňují nejvyšší dostupnou energetickou třídu dle příslušné legislativy pro daný typ spotřebiče;</w:t>
      </w:r>
    </w:p>
    <w:p w:rsidR="00422487" w:rsidRDefault="00422487" w:rsidP="0042248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náklady na zařízení využívajících vodu, které nesplňují následující podmínky:</w:t>
      </w:r>
    </w:p>
    <w:p w:rsidR="00422487" w:rsidRDefault="00422487" w:rsidP="00422487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sprchy mají maximální průtok vody 8 l/min;</w:t>
      </w:r>
    </w:p>
    <w:p w:rsidR="00422487" w:rsidRDefault="00422487" w:rsidP="00422487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WC, zahrnující soupravy, mísy a splachovací nádrže, mají úplný objem splachovací vody maximálně 6 l</w:t>
      </w:r>
      <w:bookmarkStart w:id="3" w:name="_GoBack"/>
      <w:bookmarkEnd w:id="3"/>
      <w:r>
        <w:rPr>
          <w:rFonts w:eastAsiaTheme="minorEastAsia"/>
        </w:rPr>
        <w:t xml:space="preserve"> a maximální průměrný objem splachovací vody 3,5l;</w:t>
      </w:r>
    </w:p>
    <w:p w:rsidR="00422487" w:rsidRDefault="00422487" w:rsidP="00422487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pisoáry spotřebují maximálně 2 l/mísu/hodinu. Splachovací pisoáry mají maximální úplný objem splachovací vody 1 l;</w:t>
      </w:r>
    </w:p>
    <w:p w:rsidR="00422487" w:rsidRDefault="00422487" w:rsidP="00422487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umyvadlové baterie a kuchyňské baterie mají maximální průtok 6 l/min.</w:t>
      </w:r>
    </w:p>
    <w:p w:rsidR="00422487" w:rsidRDefault="00422487" w:rsidP="00422487">
      <w:pPr>
        <w:rPr>
          <w:rFonts w:cs="Segoe UI"/>
        </w:rPr>
      </w:pPr>
    </w:p>
    <w:p w:rsidR="00422487" w:rsidRDefault="00422487" w:rsidP="00422487">
      <w:pPr>
        <w:rPr>
          <w:rFonts w:eastAsia="Arial" w:cs="Segoe UI"/>
          <w:color w:val="000000"/>
        </w:rPr>
      </w:pPr>
      <w:r>
        <w:rPr>
          <w:rFonts w:cs="Segoe UI"/>
        </w:rPr>
        <w:t xml:space="preserve">Dále žadatel prohlašuje, </w:t>
      </w:r>
      <w:r>
        <w:rPr>
          <w:rFonts w:eastAsia="Segoe UI" w:cs="Segoe UI"/>
        </w:rPr>
        <w:t xml:space="preserve">že projekt naplní požadavky odboru </w:t>
      </w:r>
      <w:r>
        <w:rPr>
          <w:rFonts w:eastAsia="Arial" w:cs="Segoe UI"/>
          <w:color w:val="000000"/>
        </w:rPr>
        <w:t xml:space="preserve">Hlavního architekta </w:t>
      </w:r>
      <w:proofErr w:type="spellStart"/>
      <w:r>
        <w:rPr>
          <w:rFonts w:eastAsia="Arial" w:cs="Segoe UI"/>
          <w:color w:val="000000"/>
        </w:rPr>
        <w:t>eGovernmentu</w:t>
      </w:r>
      <w:proofErr w:type="spellEnd"/>
      <w:r>
        <w:rPr>
          <w:rFonts w:eastAsia="Arial" w:cs="Segoe UI"/>
          <w:color w:val="000000"/>
        </w:rPr>
        <w:t xml:space="preserve"> Digitální a informační agentury (DIA) na pořízené systémy nebo že systémy nebudou spadat do působnosti jeho posouzení.</w:t>
      </w:r>
    </w:p>
    <w:p w:rsidR="00422487" w:rsidRDefault="00422487" w:rsidP="00422487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422487" w:rsidTr="00017A7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</w:tr>
      <w:tr w:rsidR="00422487" w:rsidTr="00017A7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</w:tr>
      <w:tr w:rsidR="00422487" w:rsidTr="00017A70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422487" w:rsidRDefault="00422487" w:rsidP="00017A70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422487" w:rsidRDefault="00422487" w:rsidP="00422487">
      <w:pPr>
        <w:rPr>
          <w:rFonts w:cs="Segoe UI"/>
        </w:rPr>
      </w:pPr>
    </w:p>
    <w:p w:rsidR="00DA0D4D" w:rsidRDefault="00DA0D4D"/>
    <w:sectPr w:rsidR="00DA0D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FF" w:rsidRDefault="00F41AFF" w:rsidP="00422487">
      <w:pPr>
        <w:spacing w:after="0" w:line="240" w:lineRule="auto"/>
      </w:pPr>
      <w:r>
        <w:separator/>
      </w:r>
    </w:p>
  </w:endnote>
  <w:endnote w:type="continuationSeparator" w:id="0">
    <w:p w:rsidR="00F41AFF" w:rsidRDefault="00F41AFF" w:rsidP="0042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pa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545A5" wp14:editId="1CADBBF0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620" w:rsidRDefault="00FD14D9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545A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" filled="f" stroked="f">
              <v:textbox style="mso-fit-shape-to-text:t" inset="0,0,0,0">
                <w:txbxContent>
                  <w:p w:rsidR="00BA5620" w:rsidRDefault="00FD14D9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BA5620" w:rsidRDefault="00FD14D9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BA5620" w:rsidRDefault="00FD14D9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BA5620" w:rsidRDefault="00FD14D9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FF" w:rsidRDefault="00F41AFF" w:rsidP="00422487">
      <w:pPr>
        <w:spacing w:after="0" w:line="240" w:lineRule="auto"/>
      </w:pPr>
      <w:r>
        <w:separator/>
      </w:r>
    </w:p>
  </w:footnote>
  <w:footnote w:type="continuationSeparator" w:id="0">
    <w:p w:rsidR="00F41AFF" w:rsidRDefault="00F41AFF" w:rsidP="00422487">
      <w:pPr>
        <w:spacing w:after="0" w:line="240" w:lineRule="auto"/>
      </w:pPr>
      <w:r>
        <w:continuationSeparator/>
      </w:r>
    </w:p>
  </w:footnote>
  <w:footnote w:id="1">
    <w:p w:rsidR="00422487" w:rsidRDefault="00422487" w:rsidP="00422487">
      <w:pPr>
        <w:rPr>
          <w:rFonts w:cs="Segoe UI"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Segoe UI"/>
          <w:sz w:val="16"/>
          <w:szCs w:val="16"/>
        </w:rPr>
        <w:t xml:space="preserve">Splnění zde uvedených podmínek může být předmětem kontroly na místě. V případě, že v rámci kontroly </w:t>
      </w:r>
      <w:proofErr w:type="spellStart"/>
      <w:r>
        <w:rPr>
          <w:rFonts w:cs="Segoe UI"/>
          <w:sz w:val="16"/>
          <w:szCs w:val="16"/>
        </w:rPr>
        <w:t>ŽoP</w:t>
      </w:r>
      <w:proofErr w:type="spellEnd"/>
      <w:r>
        <w:rPr>
          <w:rFonts w:cs="Segoe UI"/>
          <w:sz w:val="16"/>
          <w:szCs w:val="16"/>
        </w:rPr>
        <w:t xml:space="preserve"> bude schválen výdaj, který je v rozporu s principem DNSH, neznamená to, že při následném zjištění porušení pravidel DNSH pozbyde toto prohlášení platnosti, jakož i všechny důsledky, které z jeho porušení vyplývají. </w:t>
      </w:r>
    </w:p>
    <w:p w:rsidR="00422487" w:rsidRDefault="00422487" w:rsidP="0042248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hlav"/>
    </w:pPr>
    <w:r>
      <w:rPr>
        <w:noProof/>
      </w:rPr>
      <w:drawing>
        <wp:inline distT="0" distB="0" distL="0" distR="0" wp14:anchorId="4EAF576A" wp14:editId="37B9685B">
          <wp:extent cx="5719445" cy="415856"/>
          <wp:effectExtent l="0" t="0" r="0" b="3810"/>
          <wp:docPr id="1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hlav"/>
    </w:pPr>
    <w:r>
      <w:rPr>
        <w:noProof/>
      </w:rPr>
      <w:drawing>
        <wp:inline distT="0" distB="0" distL="0" distR="0" wp14:anchorId="500F965E" wp14:editId="01086620">
          <wp:extent cx="5719445" cy="415856"/>
          <wp:effectExtent l="0" t="0" r="0" b="381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3C0"/>
    <w:multiLevelType w:val="hybridMultilevel"/>
    <w:tmpl w:val="CA2EBE3A"/>
    <w:lvl w:ilvl="0" w:tplc="43BC0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D69BA2">
      <w:start w:val="1"/>
      <w:numFmt w:val="lowerLetter"/>
      <w:lvlText w:val="%2."/>
      <w:lvlJc w:val="left"/>
      <w:pPr>
        <w:ind w:left="1440" w:hanging="360"/>
      </w:pPr>
    </w:lvl>
    <w:lvl w:ilvl="2" w:tplc="1D06C620">
      <w:start w:val="1"/>
      <w:numFmt w:val="lowerRoman"/>
      <w:lvlText w:val="%3."/>
      <w:lvlJc w:val="right"/>
      <w:pPr>
        <w:ind w:left="2160" w:hanging="180"/>
      </w:pPr>
    </w:lvl>
    <w:lvl w:ilvl="3" w:tplc="3A308B10">
      <w:start w:val="1"/>
      <w:numFmt w:val="decimal"/>
      <w:lvlText w:val="%4."/>
      <w:lvlJc w:val="left"/>
      <w:pPr>
        <w:ind w:left="2880" w:hanging="360"/>
      </w:pPr>
    </w:lvl>
    <w:lvl w:ilvl="4" w:tplc="7B5C0792">
      <w:start w:val="1"/>
      <w:numFmt w:val="lowerLetter"/>
      <w:lvlText w:val="%5."/>
      <w:lvlJc w:val="left"/>
      <w:pPr>
        <w:ind w:left="3600" w:hanging="360"/>
      </w:pPr>
    </w:lvl>
    <w:lvl w:ilvl="5" w:tplc="C478A4AC">
      <w:start w:val="1"/>
      <w:numFmt w:val="lowerRoman"/>
      <w:lvlText w:val="%6."/>
      <w:lvlJc w:val="right"/>
      <w:pPr>
        <w:ind w:left="4320" w:hanging="180"/>
      </w:pPr>
    </w:lvl>
    <w:lvl w:ilvl="6" w:tplc="EA8C7D0E">
      <w:start w:val="1"/>
      <w:numFmt w:val="decimal"/>
      <w:lvlText w:val="%7."/>
      <w:lvlJc w:val="left"/>
      <w:pPr>
        <w:ind w:left="5040" w:hanging="360"/>
      </w:pPr>
    </w:lvl>
    <w:lvl w:ilvl="7" w:tplc="FA285FF2">
      <w:start w:val="1"/>
      <w:numFmt w:val="lowerLetter"/>
      <w:lvlText w:val="%8."/>
      <w:lvlJc w:val="left"/>
      <w:pPr>
        <w:ind w:left="5760" w:hanging="360"/>
      </w:pPr>
    </w:lvl>
    <w:lvl w:ilvl="8" w:tplc="3A54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87"/>
    <w:rsid w:val="0003570A"/>
    <w:rsid w:val="00422487"/>
    <w:rsid w:val="007F2B6C"/>
    <w:rsid w:val="009E715A"/>
    <w:rsid w:val="00A27C67"/>
    <w:rsid w:val="00DA0D4D"/>
    <w:rsid w:val="00E204EE"/>
    <w:rsid w:val="00F41AFF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77F"/>
  <w15:chartTrackingRefBased/>
  <w15:docId w15:val="{DAB54C9C-A9A0-4EEB-8F87-BD61491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487"/>
    <w:pPr>
      <w:spacing w:after="120" w:line="264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422487"/>
  </w:style>
  <w:style w:type="paragraph" w:styleId="Zhlav">
    <w:name w:val="header"/>
    <w:basedOn w:val="Normln"/>
    <w:link w:val="ZhlavChar"/>
    <w:uiPriority w:val="99"/>
    <w:rsid w:val="004224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422487"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22487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22487"/>
    <w:rPr>
      <w:rFonts w:ascii="Segoe UI" w:eastAsia="Times New Roman" w:hAnsi="Segoe UI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422487"/>
  </w:style>
  <w:style w:type="paragraph" w:styleId="Textpoznpodarou">
    <w:name w:val="footnote text"/>
    <w:basedOn w:val="Normln"/>
    <w:link w:val="TextpoznpodarouChar"/>
    <w:semiHidden/>
    <w:rsid w:val="00422487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22487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42248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22487"/>
    <w:pPr>
      <w:ind w:left="708"/>
    </w:pPr>
  </w:style>
  <w:style w:type="paragraph" w:customStyle="1" w:styleId="Mezititulek">
    <w:name w:val="Mezititulek"/>
    <w:basedOn w:val="Normln"/>
    <w:link w:val="MezititulekChar"/>
    <w:qFormat/>
    <w:rsid w:val="00422487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422487"/>
    <w:rPr>
      <w:rFonts w:ascii="Segoe UI" w:eastAsia="Calibri" w:hAnsi="Segoe UI" w:cs="Segoe UI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422487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docdata">
    <w:name w:val="docdata"/>
    <w:basedOn w:val="Standardnpsmoodstavce"/>
    <w:rsid w:val="0042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Skoupá Veronika</cp:lastModifiedBy>
  <cp:revision>4</cp:revision>
  <dcterms:created xsi:type="dcterms:W3CDTF">2023-05-23T11:14:00Z</dcterms:created>
  <dcterms:modified xsi:type="dcterms:W3CDTF">2023-05-28T16:00:00Z</dcterms:modified>
</cp:coreProperties>
</file>